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Arial Narrow" w:hAnsi="Arial Narrow" w:eastAsia="Arial" w:cs="Arial"/>
          <w:sz w:val="22"/>
          <w:szCs w:val="22"/>
        </w:rPr>
      </w:pPr>
    </w:p>
    <w:tbl>
      <w:tblPr>
        <w:tblStyle w:val="20"/>
        <w:tblW w:w="90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0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41" w:type="dxa"/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PROGRAMA DE PÓS-GRADUAÇÃO EM ARTES CÊNICAS</w:t>
            </w:r>
          </w:p>
          <w:p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PERÍODO EMERGENCIAL DE ENSINO REMOTO</w:t>
            </w:r>
          </w:p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41" w:type="dxa"/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Turno</w:t>
            </w:r>
            <w:r>
              <w:rPr>
                <w:rFonts w:ascii="Arial Narrow" w:hAnsi="Arial Narrow" w:eastAsia="Arial" w:cs="Arial"/>
                <w:sz w:val="22"/>
                <w:szCs w:val="22"/>
              </w:rPr>
              <w:t>: DIURNO</w:t>
            </w:r>
          </w:p>
        </w:tc>
      </w:tr>
    </w:tbl>
    <w:p>
      <w:pPr>
        <w:rPr>
          <w:rFonts w:ascii="Arial Narrow" w:hAnsi="Arial Narrow"/>
          <w:sz w:val="22"/>
          <w:szCs w:val="22"/>
        </w:rPr>
      </w:pPr>
    </w:p>
    <w:tbl>
      <w:tblPr>
        <w:tblStyle w:val="21"/>
        <w:tblW w:w="90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518"/>
        <w:gridCol w:w="1855"/>
        <w:gridCol w:w="1797"/>
        <w:gridCol w:w="1919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41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INFORMAÇÕES BÁSICAS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5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Currículo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</w:p>
        </w:tc>
        <w:tc>
          <w:tcPr>
            <w:tcW w:w="557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Unidade curricular</w:t>
            </w:r>
          </w:p>
          <w:p>
            <w:pPr>
              <w:jc w:val="center"/>
              <w:rPr>
                <w:rStyle w:val="30"/>
                <w:rFonts w:ascii="Arial Narrow" w:hAnsi="Arial Narrow" w:cstheme="minorHAnsi"/>
                <w:b/>
                <w:bCs/>
                <w:sz w:val="22"/>
                <w:szCs w:val="22"/>
              </w:rPr>
            </w:pPr>
            <w:bookmarkStart w:id="3" w:name="_GoBack"/>
            <w:r>
              <w:rPr>
                <w:rStyle w:val="30"/>
                <w:rFonts w:ascii="Arial Narrow" w:hAnsi="Arial Narrow" w:cstheme="minorHAnsi"/>
                <w:b/>
                <w:bCs/>
                <w:sz w:val="22"/>
                <w:szCs w:val="22"/>
              </w:rPr>
              <w:t>Tópicos Variados em Processos e Poéticas Artísticas</w:t>
            </w:r>
          </w:p>
          <w:p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ENCENAÇÃO E PEDAGOGIA: A POÉTICA DE TADASHI SUZUKI</w:t>
            </w:r>
            <w:bookmarkEnd w:id="3"/>
          </w:p>
        </w:tc>
        <w:tc>
          <w:tcPr>
            <w:tcW w:w="19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Departamento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>DEACE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20" w:hRule="atLeast"/>
        </w:trPr>
        <w:tc>
          <w:tcPr>
            <w:tcW w:w="151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Período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>2021/1</w:t>
            </w:r>
          </w:p>
        </w:tc>
        <w:tc>
          <w:tcPr>
            <w:tcW w:w="5571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95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Código CONTAC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20" w:hRule="atLeast"/>
        </w:trPr>
        <w:tc>
          <w:tcPr>
            <w:tcW w:w="15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Teórica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>60h</w:t>
            </w:r>
          </w:p>
        </w:tc>
        <w:tc>
          <w:tcPr>
            <w:tcW w:w="1797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Prática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>---</w:t>
            </w:r>
          </w:p>
        </w:tc>
        <w:tc>
          <w:tcPr>
            <w:tcW w:w="19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Total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>60h</w:t>
            </w:r>
          </w:p>
        </w:tc>
        <w:tc>
          <w:tcPr>
            <w:tcW w:w="195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20" w:hRule="atLeast"/>
        </w:trPr>
        <w:tc>
          <w:tcPr>
            <w:tcW w:w="15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Tipo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>Opt</w:t>
            </w:r>
          </w:p>
        </w:tc>
        <w:tc>
          <w:tcPr>
            <w:tcW w:w="365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Habilitação / Modalidade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>---</w:t>
            </w:r>
          </w:p>
        </w:tc>
        <w:tc>
          <w:tcPr>
            <w:tcW w:w="19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Pré-requisito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>---</w:t>
            </w:r>
          </w:p>
        </w:tc>
        <w:tc>
          <w:tcPr>
            <w:tcW w:w="19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Co-requisito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20" w:hRule="atLeast"/>
        </w:trPr>
        <w:tc>
          <w:tcPr>
            <w:tcW w:w="9041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Arial Narrow" w:hAnsi="Arial Narrow" w:eastAsia="Arial" w:cs="Arial"/>
                <w:bCs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 xml:space="preserve">Docente responsável: </w:t>
            </w:r>
            <w:r>
              <w:rPr>
                <w:rFonts w:ascii="Arial Narrow" w:hAnsi="Arial Narrow" w:eastAsia="Arial" w:cs="Arial"/>
                <w:bCs/>
                <w:sz w:val="22"/>
                <w:szCs w:val="22"/>
              </w:rPr>
              <w:t>Juliana Reis Monteiro dos Santos</w:t>
            </w:r>
          </w:p>
        </w:tc>
      </w:tr>
    </w:tbl>
    <w:tbl>
      <w:tblPr>
        <w:tblStyle w:val="22"/>
        <w:tblW w:w="905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0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EMENTA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Arial Narrow" w:hAnsi="Arial Narrow" w:eastAsia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t>A presente disciplina propõe aprofundar questões no campo da teoria e da prática dos processos e das poéticas artísticas cênicas – o teatro, a performance, a dança - na contemporaneidade.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OBJETIVOS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ind w:left="360"/>
              <w:jc w:val="both"/>
              <w:rPr>
                <w:rFonts w:ascii="Arial Narrow" w:hAnsi="Arial Narrow" w:eastAsia="Arial" w:cs="Arial"/>
                <w:sz w:val="22"/>
                <w:szCs w:val="22"/>
              </w:rPr>
            </w:pPr>
          </w:p>
          <w:p>
            <w:pPr>
              <w:ind w:firstLine="709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No Teatro Ocidental, o tema do entrecruzamento de procedimentos técnicos com a construção do discurso poético passa a ser problematizado a partir do final do século XIX com o advento da encenação, possibilitando a construção de um novo diálogo entre encenação e pedagogia e o desenvolvimento de várias reflexões sobre o trabalho do ator. </w:t>
            </w:r>
          </w:p>
          <w:p>
            <w:pPr>
              <w:ind w:firstLine="709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Nesse processo, as formas tradicionais do</w:t>
            </w:r>
            <w:r>
              <w:rPr>
                <w:rFonts w:ascii="Arial Narrow" w:hAnsi="Arial Narrow" w:cstheme="minorHAnsi"/>
                <w: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sz w:val="22"/>
                <w:szCs w:val="22"/>
              </w:rPr>
              <w:t>Teatro Oriental cumpriram papel significante. Seja por suas características não realistas, seja por serem fontes potenciais de conhecimento e de possibilidades expressivas, ou por enfatizarem a conexão “treinamento técnico - ambição estética”, serviram e servem de fonte de inspiração para muitos criadores.</w:t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ab/>
            </w:r>
            <w:r>
              <w:rPr>
                <w:rFonts w:ascii="Arial Narrow" w:hAnsi="Arial Narrow" w:cstheme="minorHAnsi"/>
                <w:sz w:val="22"/>
                <w:szCs w:val="22"/>
              </w:rPr>
              <w:t>Tadashi Suzuki, encenador japonês contemporâneo e um dos expoentes da contracultura da década de 1960, se insere nesse contexto ao revisitar a tradição teatral de seu país e estabelecer pontes com o teatro ocidental, bem como ao sistematizar um treinamento para performers</w:t>
            </w:r>
            <w:r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iCs/>
                <w:sz w:val="22"/>
                <w:szCs w:val="22"/>
              </w:rPr>
              <w:t>que permite a viabilização de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seus objetivos estéticos e a criação de seus espetáculos. </w:t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ab/>
            </w:r>
            <w:r>
              <w:rPr>
                <w:rFonts w:ascii="Arial Narrow" w:hAnsi="Arial Narrow" w:cstheme="minorHAnsi"/>
                <w:sz w:val="22"/>
                <w:szCs w:val="22"/>
              </w:rPr>
              <w:t>Ao propor uma aproximação com o trabalho deste encenador, a disciplina pretende refletir sobre questões que dizem respeito às articulações entre material técnico e material poético na escritura cênica; à pedagogia teatral, ás questões relacionadas ao treinamento no campo das artes cênicas e às pesquisas da linguagem da encenação que tomam o ator como figura catalizadora e desencadeadora de processos de criação.</w:t>
            </w:r>
          </w:p>
          <w:p>
            <w:pPr>
              <w:ind w:left="360"/>
              <w:jc w:val="both"/>
              <w:rPr>
                <w:rFonts w:ascii="Arial Narrow" w:hAnsi="Arial Narrow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CONTEÚDO PROGRAMÁTICO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jc w:val="both"/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3686501"/>
            <w:r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Encenação e pedagogia (século XX). Tadashi Suzuki. Processos de transformação do performer. </w:t>
            </w:r>
            <w:bookmarkEnd w:id="0"/>
          </w:p>
          <w:p>
            <w:pPr>
              <w:pStyle w:val="27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napToGrid w:val="0"/>
              <w:jc w:val="both"/>
              <w:rPr>
                <w:rStyle w:val="30"/>
                <w:rFonts w:ascii="Arial Narrow" w:hAnsi="Arial Narrow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Diálogos interculturais; contracultura japonesa da década de 1960; tradição e contemporaneidade; técnica como </w:t>
            </w:r>
            <w:r>
              <w:rPr>
                <w:rStyle w:val="30"/>
                <w:rFonts w:ascii="Arial Narrow" w:hAnsi="Arial Narrow" w:cstheme="minorHAnsi"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do</w:t>
            </w:r>
            <w:r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27"/>
              <w:numPr>
                <w:ilvl w:val="0"/>
                <w:numId w:val="1"/>
              </w:numPr>
              <w:jc w:val="both"/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Elementos de composição e alguns aspectos da cultura japonesa: a</w:t>
            </w:r>
            <w:bookmarkStart w:id="1" w:name="_Hlk53686607"/>
            <w:r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lógica ideogramática </w:t>
            </w:r>
            <w:bookmarkEnd w:id="1"/>
            <w:r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(relacional e visual); a relações espaço-temporais: </w:t>
            </w:r>
            <w:r>
              <w:rPr>
                <w:rStyle w:val="30"/>
                <w:rFonts w:ascii="Arial Narrow" w:hAnsi="Arial Narrow" w:cstheme="minorHAnsi"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mah</w:t>
            </w:r>
            <w:r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e </w:t>
            </w:r>
            <w:r>
              <w:rPr>
                <w:rStyle w:val="30"/>
                <w:rFonts w:ascii="Arial Narrow" w:hAnsi="Arial Narrow" w:cstheme="minorHAnsi"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jo ha kyu</w:t>
            </w:r>
            <w:r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; o conceito de espaço dinâmico; a atuação como ato relacional; o acontecimento teatral como construção de um lugar compartilhado de experiência.</w:t>
            </w:r>
          </w:p>
          <w:p>
            <w:pPr>
              <w:pStyle w:val="27"/>
              <w:numPr>
                <w:ilvl w:val="0"/>
                <w:numId w:val="1"/>
              </w:numPr>
              <w:jc w:val="both"/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 teatro tradicional japonês: Noh, Kabuki, Bunraku; o pós-dramático antes do dramático; katas (de atuação e espaciais); teatros do silêncio, teatro energético.</w:t>
            </w:r>
          </w:p>
          <w:p>
            <w:pPr>
              <w:pStyle w:val="27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napToGrid w:val="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Tadashi Suzuki e SCOT: </w:t>
            </w:r>
            <w:r>
              <w:rPr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a descoberta do ator (ou o caminho da restauração – década de 1960); as disciplinas de atuação </w:t>
            </w:r>
            <w:r>
              <w:rPr>
                <w:rStyle w:val="30"/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(a partir de 1972): o Método Suzuki de Treinamento para Atrizes e Atores</w:t>
            </w:r>
            <w:r>
              <w:rPr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; Toga-mura: o espaço tornado corpo e os espaços de comunhão/espaços teatrais; Arata Isozaki; as encenações: Dyonisus e As troianas.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METODOLOGIAS DE ENSINO (com previsão de atividades síncronas e/ou assíncronas; as mídias e recursos tecnológicos necessários para a execução da UC remota)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ind w:left="360"/>
              <w:rPr>
                <w:rFonts w:ascii="Arial Narrow" w:hAnsi="Arial Narrow" w:eastAsia="Arial" w:cs="Arial"/>
                <w:sz w:val="22"/>
                <w:szCs w:val="22"/>
              </w:rPr>
            </w:pPr>
          </w:p>
          <w:p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Metodologias de ensino</w:t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O conteúdo será distribuído em 12 semanas com:</w:t>
            </w:r>
          </w:p>
          <w:p>
            <w:pPr>
              <w:pStyle w:val="27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Atividades assíncronas quinzenais: consulta a material videográfico, leitura e resenhas de textos, enviadas via Google Docs, e levantamento de perguntas para debates nos encontros síncronos e </w:t>
            </w:r>
          </w:p>
          <w:p>
            <w:pPr>
              <w:pStyle w:val="27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Atividades síncronas quinzenais: via Zoom, com duas horas (2h) de duração cada:  1h15 de explanação e 45 min de debate entre os participantes.</w:t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Mídias e recursos tecnológicos necessários: </w:t>
            </w:r>
          </w:p>
          <w:p>
            <w:pPr>
              <w:pStyle w:val="27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conexão com a Internet e</w:t>
            </w:r>
          </w:p>
          <w:p>
            <w:pPr>
              <w:pStyle w:val="27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celular ou computador ou tablet ou todos, com câmera. </w:t>
            </w:r>
          </w:p>
          <w:p>
            <w:pPr>
              <w:ind w:left="360"/>
              <w:rPr>
                <w:rFonts w:ascii="Arial Narrow" w:hAnsi="Arial Narrow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ind w:left="360"/>
              <w:jc w:val="center"/>
              <w:rPr>
                <w:rFonts w:ascii="Arial Narrow" w:hAnsi="Arial Narrow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bCs/>
                <w:sz w:val="22"/>
                <w:szCs w:val="22"/>
              </w:rPr>
              <w:t>Aulas</w:t>
            </w:r>
          </w:p>
          <w:p>
            <w:pPr>
              <w:ind w:left="360"/>
              <w:jc w:val="center"/>
              <w:rPr>
                <w:rFonts w:ascii="Arial Narrow" w:hAnsi="Arial Narrow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bCs/>
                <w:sz w:val="22"/>
                <w:szCs w:val="22"/>
              </w:rPr>
              <w:t>Sextas-feiras</w:t>
            </w:r>
          </w:p>
          <w:tbl>
            <w:tblPr>
              <w:tblStyle w:val="1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6"/>
              <w:gridCol w:w="1134"/>
              <w:gridCol w:w="65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Dia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Horário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Atividade/Conteúdo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29/01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Síncrono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05/02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Assíncrono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12/02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Síncrono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19/02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Assíncrono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26/02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Síncrono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05/03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Assíncrono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12/03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Síncrono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19/03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Assíncrono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26/03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Síncrono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02/04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EF2CC" w:themeFill="accent4" w:themeFillTint="33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Assíncrono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09/04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Síncrono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16/04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color w:val="auto"/>
                      <w:sz w:val="20"/>
                      <w:szCs w:val="20"/>
                      <w:lang w:eastAsia="en-US"/>
                    </w:rPr>
                    <w:t>14h às 16h</w:t>
                  </w:r>
                </w:p>
              </w:tc>
              <w:tc>
                <w:tcPr>
                  <w:tcW w:w="6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D965" w:themeFill="accent4" w:themeFillTint="99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both"/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eastAsiaTheme="minorHAnsi" w:cstheme="minorHAnsi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Síncrono</w:t>
                  </w:r>
                </w:p>
              </w:tc>
            </w:tr>
          </w:tbl>
          <w:p>
            <w:pPr>
              <w:ind w:left="360"/>
              <w:jc w:val="center"/>
              <w:rPr>
                <w:rFonts w:ascii="Arial Narrow" w:hAnsi="Arial Narrow" w:eastAsia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ind w:left="360"/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CRITÉRIOS DE AVALIAÇÃO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ind w:left="716"/>
              <w:jc w:val="both"/>
              <w:rPr>
                <w:rFonts w:ascii="Arial Narrow" w:hAnsi="Arial Narrow" w:eastAsia="Arial" w:cs="Arial"/>
                <w:sz w:val="22"/>
                <w:szCs w:val="22"/>
              </w:rPr>
            </w:pPr>
          </w:p>
          <w:p>
            <w:pPr>
              <w:pStyle w:val="27"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Entrega de resenhas e perguntas sobre os textos previamente lidos e/ou vídeos assistidos, via Google Docs, que também servirão para testar a frequência em cinco atividades: até 60 pontos e</w:t>
            </w:r>
          </w:p>
          <w:p>
            <w:pPr>
              <w:pStyle w:val="27"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Entrega de artigo final (até 10 páginas) até o dia 09/04/2021, por email, que faça relação entre os temas abordados na atividade e os projetos de pesquisa das/os discentes: até 40 pontos.</w:t>
            </w:r>
          </w:p>
          <w:p>
            <w:pPr>
              <w:ind w:left="360"/>
              <w:rPr>
                <w:rFonts w:ascii="Arial Narrow" w:hAnsi="Arial Narrow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bCs/>
                <w:sz w:val="22"/>
                <w:szCs w:val="22"/>
              </w:rPr>
              <w:t>REGISTRO DE FREQUÊNCIA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rFonts w:ascii="Arial Narrow" w:hAnsi="Arial Narrow" w:cstheme="minorHAnsi"/>
                <w:sz w:val="22"/>
                <w:szCs w:val="22"/>
              </w:rPr>
              <w:t>Conforme Resolução N° 007 de 03 de agosto de 2020 do CONEP: “Art. 11. O registro da frequência do discente se dará por meio do cumprimento das atividades propostas, e não pela presença durante as atividades síncronas, sendo que o discente que não concluir 75% das atividades propostas será reprovado por infrequência.” Desta maneira, os 12 (doze) dias de atividades propostos serão considerados simultaneamente avaliativos e de estudos, totalizando 12 (doze) atividades propostas. Será aprovado por frequência o discente que cumprir pelo menos 9 (nove) atividades.</w:t>
            </w:r>
          </w:p>
          <w:p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b/>
                <w:sz w:val="22"/>
                <w:szCs w:val="22"/>
              </w:rPr>
              <w:t>BIBLIOGRAFIA BÁSICA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  <w:highlight w:val="yellow"/>
              </w:rPr>
              <w:t>Os materiais apontados abaixo com “Em pdf” serão disponibilizados por mail.</w:t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CAMPOS, Haroldo de.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 charme sutil de Hagoromo. </w:t>
            </w:r>
            <w:r>
              <w:rPr>
                <w:rFonts w:ascii="Arial Narrow" w:hAnsi="Arial Narrow" w:cstheme="minorHAnsi"/>
                <w:sz w:val="22"/>
                <w:szCs w:val="22"/>
              </w:rPr>
              <w:t>In Hagoromo de Zeami. O charme sutil. P. 11 a 27. SP: Estação Liberdade, 2005. Em pdf.</w:t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CAPUTO. Flavio dos Reis.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  <w:lang w:eastAsia="ar-SA"/>
              </w:rPr>
              <w:t>Semente, estrutura, composição. Os três caminhos de Zeami para a criação de uma peça nô</w:t>
            </w: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. Faculdade de Filosofia, Letras e Ciências Humanas. Depto. de Letras Orientais. 2016. </w:t>
            </w:r>
            <w:r>
              <w:fldChar w:fldCharType="begin"/>
            </w:r>
            <w:r>
              <w:instrText xml:space="preserve"> HYPERLINK "https://www.teses.usp.br/teses/disponiveis/8/8157/tde-21122016-132043/publico/2016_FlavioDosReisCaputo_VCorr.pdf"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  <w:lang w:eastAsia="ar-SA"/>
              </w:rPr>
              <w:t>https://www.teses.usp.br/teses/disponiveis/8/8157/tde-21122016-132043/publico/2016_FlavioDosReisCaputo_VCorr.pdf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  <w:lang w:eastAsia="ar-SA"/>
              </w:rPr>
              <w:fldChar w:fldCharType="end"/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</w:p>
          <w:p>
            <w:pPr>
              <w:jc w:val="both"/>
              <w:rPr>
                <w:rFonts w:ascii="Arial Narrow" w:hAnsi="Arial Narrow"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KUSANO, Darci Yasuco. Os Teatros Bunraku e Kabuki: Uma Visada Barroca. São Paulo: Editora Perspectiva S.A., 1993. </w:t>
            </w:r>
          </w:p>
          <w:p>
            <w:pPr>
              <w:tabs>
                <w:tab w:val="left" w:pos="9644"/>
              </w:tabs>
              <w:ind w:left="310" w:leftChars="129" w:right="204" w:rightChars="85"/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___________________.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  <w:lang w:eastAsia="ar-SA"/>
              </w:rPr>
              <w:t>Teatro tradicional japonês.</w:t>
            </w: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 </w:t>
            </w:r>
            <w:r>
              <w:fldChar w:fldCharType="begin"/>
            </w:r>
            <w:r>
              <w:instrText xml:space="preserve"> HYPERLINK "https://fjsp.org.br/site/wp-content/uploads/2013/03/teatro_tradicional_japones.pdf"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  <w:lang w:eastAsia="ar-SA"/>
              </w:rPr>
              <w:t>https://fjsp.org.br/site/wp-content/uploads/2013/03/teatro_tradicional_japones.pdf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  <w:lang w:eastAsia="ar-SA"/>
              </w:rPr>
              <w:fldChar w:fldCharType="end"/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      __________________.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Tradição e vanguarda no teatro japonês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. Revista USP.  </w:t>
            </w:r>
            <w:r>
              <w:fldChar w:fldCharType="begin"/>
            </w:r>
            <w:r>
              <w:instrText xml:space="preserve"> HYPERLINK "http://www.revistas.usp.br/revusp/issue/view/2140"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olor w:val="auto"/>
                <w:sz w:val="22"/>
                <w:szCs w:val="22"/>
                <w:u w:val="none"/>
              </w:rPr>
              <w:t xml:space="preserve">n. 27 </w:t>
            </w:r>
            <w:r>
              <w:rPr>
                <w:rStyle w:val="12"/>
                <w:rFonts w:ascii="Arial Narrow" w:hAnsi="Arial Narrow" w:cstheme="minorHAnsi"/>
                <w:color w:val="auto"/>
                <w:sz w:val="22"/>
                <w:szCs w:val="22"/>
                <w:u w:val="none"/>
              </w:rPr>
              <w:tab/>
            </w:r>
            <w:r>
              <w:rPr>
                <w:rStyle w:val="12"/>
                <w:rFonts w:ascii="Arial Narrow" w:hAnsi="Arial Narrow" w:cstheme="minorHAnsi"/>
                <w:color w:val="auto"/>
                <w:sz w:val="22"/>
                <w:szCs w:val="22"/>
                <w:u w:val="none"/>
              </w:rPr>
              <w:t xml:space="preserve">(1995): BRASIL-         JAPÃO </w:t>
            </w:r>
            <w:r>
              <w:rPr>
                <w:rStyle w:val="12"/>
                <w:rFonts w:ascii="Arial Narrow" w:hAnsi="Arial Narrow" w:cstheme="minorHAnsi"/>
                <w:color w:val="auto"/>
                <w:sz w:val="22"/>
                <w:szCs w:val="22"/>
                <w:u w:val="none"/>
              </w:rPr>
              <w:fldChar w:fldCharType="end"/>
            </w:r>
            <w:r>
              <w:rPr>
                <w:rStyle w:val="31"/>
                <w:rFonts w:ascii="Arial Narrow" w:hAnsi="Arial Narrow" w:cstheme="minorHAnsi"/>
                <w:sz w:val="22"/>
                <w:szCs w:val="22"/>
              </w:rPr>
              <w:t>/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Dossiê. </w:t>
            </w:r>
            <w:r>
              <w:fldChar w:fldCharType="begin"/>
            </w:r>
            <w:r>
              <w:instrText xml:space="preserve"> HYPERLINK "http://www.revistas.usp.br/revusp/article/view/28350"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http://www.revistas.usp.br/revusp/article/view/28350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LEPECKI, André.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  <w:lang w:eastAsia="ar-SA"/>
              </w:rPr>
              <w:t>Planos de composição</w:t>
            </w: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. Criações e conexões. Cartografia. Rumos Itaú Cultural. Dança, 2009-2010. </w:t>
            </w:r>
            <w:r>
              <w:fldChar w:fldCharType="begin"/>
            </w:r>
            <w:r>
              <w:instrText xml:space="preserve"> HYPERLINK "https://issuu.com/itaucultural/docs/rumos_danca_criacoeseconexoes"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  <w:lang w:eastAsia="ar-SA"/>
              </w:rPr>
              <w:t>https://issuu.com/itaucultural/docs/rumos_danca_criacoeseconexoes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  <w:lang w:eastAsia="ar-SA"/>
              </w:rPr>
              <w:fldChar w:fldCharType="end"/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LYOTARD, Jean-François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. O dente, A palma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. Tradução do inglês Humberto Issao Sueyoshi. Revisão Tatiana Perez Toledo. Sala aberta. In: Sala Preta, vol. 11, n. 1, dez 2011, p. 139-146. </w:t>
            </w:r>
            <w:r>
              <w:fldChar w:fldCharType="begin"/>
            </w:r>
            <w:r>
              <w:instrText xml:space="preserve"> HYPERLINK "http://www.revistas.usp.br/salapreta/article/view/57471"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http://www.revistas.usp.br/salapreta/article/view/57471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NAGAI, Ângela Mayumi.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Olhos, ouvidos e ossos: percepções da luz e do som no teatro Nô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. Sala Preta. </w:t>
            </w:r>
            <w:r>
              <w:fldChar w:fldCharType="begin"/>
            </w:r>
            <w:r>
              <w:instrText xml:space="preserve"> HYPERLINK "http://www.revistas.usp.br/salapreta/issue/view/7782"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 xml:space="preserve">v. 15 n. 2 (2015) 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"http://www.revistas.usp.br/salapreta/article/view/103290"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http://www.revistas.usp.br/salapreta/article/view/103290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OKANO, Michiko.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  <w:lang w:eastAsia="ar-SA"/>
              </w:rPr>
              <w:t>Ideograma como Metáfora da Cultura Japonesa e Seus Processos de Significação</w:t>
            </w: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. Dissertação de Mestrado, PUC-SP/Comunicação e Semiótica, 2002. </w:t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______________.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MA: Entre-espaço da Comunicação no Japão. Um estudo Acerca dos Diálogos entre Oriente e Ocidente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. Tese (Doutorado), Comunicação e Semiótica, Pontifícia Universidade Católica de São Paulo – PUC, 2007. </w:t>
            </w:r>
            <w:r>
              <w:fldChar w:fldCharType="begin"/>
            </w:r>
            <w:r>
              <w:instrText xml:space="preserve"> HYPERLINK "file:///C:\\Users\\juclo\\AppData\\Local\\Temp\\Michiko%20Okano.pdf"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file:///C:/Users/juclo/AppData/Local/Temp/Michiko%20Okano.pdf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_______________.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Ma: a estética do “entre”.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Revista USP. </w:t>
            </w:r>
            <w:r>
              <w:fldChar w:fldCharType="begin"/>
            </w:r>
            <w:r>
              <w:instrText xml:space="preserve"> HYPERLINK "http://www.revistas.usp.br/revusp/issue/view/5860"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 xml:space="preserve">n. 100 (2014): Educação 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HYPERLINK "http://www.revistas.usp.br/revusp/article/view/76178"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http://www.revistas.usp.br/revusp/article/view/76178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QUILICI, Cassiano Sydow.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 Treinamento do Ator/Performer: Repensando o “Trabalho Sobre Si” a Partir de Diálogos Interculturais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. Urdimento – Revista de Estudos em Artes Cênicas. </w:t>
            </w:r>
            <w:r>
              <w:fldChar w:fldCharType="begin"/>
            </w:r>
            <w:r>
              <w:instrText xml:space="preserve"> HYPERLINK "https://www.revistas.udesc.br/index.php/urdimento/issue/view/272"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olor w:val="auto"/>
                <w:sz w:val="22"/>
                <w:szCs w:val="22"/>
              </w:rPr>
              <w:t>v. 2 n. 19 (2012): Corpo e movimento</w:t>
            </w:r>
            <w:r>
              <w:rPr>
                <w:rStyle w:val="12"/>
                <w:rFonts w:ascii="Arial Narrow" w:hAnsi="Arial Narrow" w:cstheme="minorHAnsi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. </w:t>
            </w:r>
            <w:r>
              <w:fldChar w:fldCharType="begin"/>
            </w:r>
            <w:r>
              <w:instrText xml:space="preserve"> HYPERLINK "https://www.revistas.udesc.br/index.php/urdimento/article/view/1414573102192012015"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https://www.revistas.udesc.br/index.php/urdimento/article/view/1414573102192012015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  <w:p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caps/>
                <w:sz w:val="22"/>
                <w:szCs w:val="22"/>
              </w:rPr>
              <w:t xml:space="preserve">____________________. </w:t>
            </w:r>
            <w:r>
              <w:fldChar w:fldCharType="begin"/>
            </w:r>
            <w:r>
              <w:instrText xml:space="preserve"> HYPERLINK "https://espacosergipe.com.br/2019/07/02/o-conceito-de-cultivo/"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b/>
                <w:bCs/>
                <w:caps/>
                <w:color w:val="auto"/>
                <w:sz w:val="22"/>
                <w:szCs w:val="22"/>
              </w:rPr>
              <w:t>O CONCEITO DE “CULTIVO” E OS PROCESSOS DE FORMAÇÃO DO ATOR-PERFORMER</w:t>
            </w:r>
            <w:r>
              <w:rPr>
                <w:rStyle w:val="12"/>
                <w:rFonts w:ascii="Arial Narrow" w:hAnsi="Arial Narrow" w:cstheme="minorHAnsi"/>
                <w:b/>
                <w:bCs/>
                <w:cap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theme="minorHAnsi"/>
                <w:b/>
                <w:bCs/>
                <w:caps/>
                <w:sz w:val="22"/>
                <w:szCs w:val="22"/>
              </w:rPr>
              <w:t>.</w:t>
            </w:r>
            <w:r>
              <w:rPr>
                <w:rFonts w:ascii="Arial Narrow" w:hAnsi="Arial Narrow" w:cstheme="minorHAnsi"/>
                <w: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caps/>
                <w:spacing w:val="15"/>
                <w:sz w:val="22"/>
                <w:szCs w:val="22"/>
              </w:rPr>
              <w:t>POSTADO POR ESPAÇO SERGIP. EM </w:t>
            </w:r>
            <w:r>
              <w:fldChar w:fldCharType="begin"/>
            </w:r>
            <w:r>
              <w:instrText xml:space="preserve"> HYPERLINK "https://espacosergipe.com.br/2019/07/02/o-conceito-de-cultivo/'.get_permalink().'"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aps/>
                <w:color w:val="auto"/>
                <w:spacing w:val="15"/>
                <w:sz w:val="22"/>
                <w:szCs w:val="22"/>
              </w:rPr>
              <w:t>JULHO 2, 2019</w:t>
            </w:r>
            <w:r>
              <w:rPr>
                <w:rStyle w:val="12"/>
                <w:rFonts w:ascii="Arial Narrow" w:hAnsi="Arial Narrow" w:cstheme="minorHAnsi"/>
                <w:caps/>
                <w:color w:val="auto"/>
                <w:spacing w:val="15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theme="minorHAnsi"/>
                <w:caps/>
                <w:spacing w:val="15"/>
                <w:sz w:val="22"/>
                <w:szCs w:val="22"/>
              </w:rPr>
              <w:t xml:space="preserve">. </w:t>
            </w:r>
            <w:r>
              <w:rPr>
                <w:rStyle w:val="10"/>
                <w:rFonts w:ascii="Arial Narrow" w:hAnsi="Arial Narrow" w:cstheme="minorHAnsi"/>
                <w:sz w:val="22"/>
                <w:szCs w:val="22"/>
              </w:rPr>
              <w:t xml:space="preserve">por Cassiano Quilici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(texto publicado no livro “O ator-performer e as poéticas da transformação de si” , ed. Annablume, 2015) </w:t>
            </w:r>
            <w:r>
              <w:fldChar w:fldCharType="begin"/>
            </w:r>
            <w:r>
              <w:instrText xml:space="preserve"> HYPERLINK "https://espacosergipe.com.br/2019/07/02/o-conceito-de-cultivo/"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https://espacosergipe.com.br/2019/07/02/o-conceito-de-cultivo/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</w:p>
          <w:p>
            <w:pPr>
              <w:tabs>
                <w:tab w:val="left" w:pos="9644"/>
              </w:tabs>
              <w:ind w:left="310" w:leftChars="129" w:right="204" w:rightChars="85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>
            <w:pPr>
              <w:tabs>
                <w:tab w:val="left" w:pos="9644"/>
              </w:tabs>
              <w:ind w:left="310" w:leftChars="129" w:right="204" w:rightChars="85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RAMOS, Luiz Fernando.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 indizível e as obras imaginárias de Klein e Craig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. </w:t>
            </w:r>
            <w:r>
              <w:fldChar w:fldCharType="begin"/>
            </w:r>
            <w:r>
              <w:instrText xml:space="preserve"> HYPERLINK "https://www.periodicos.ufrn.br/artresearchjournal/issue/view/353"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v. 1 n. 1 (2014): O conceito de pesquisa na pesquisa em artes</w:t>
            </w:r>
            <w:r>
              <w:rPr>
                <w:rStyle w:val="12"/>
                <w:rFonts w:ascii="Arial Narrow" w:hAnsi="Arial Narrow" w:cstheme="minorHAnsi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tabs>
                <w:tab w:val="left" w:pos="9644"/>
              </w:tabs>
              <w:ind w:left="310" w:leftChars="129" w:right="204" w:rightChars="85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 https://www.periodicos.ufrn.br/artresearchjournal/article/view/5260</w:t>
            </w:r>
          </w:p>
          <w:p>
            <w:pPr>
              <w:pStyle w:val="2"/>
              <w:shd w:val="clear" w:color="auto" w:fill="FFFFFF"/>
              <w:spacing w:before="0" w:after="0"/>
              <w:ind w:left="284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>
            <w:pPr>
              <w:tabs>
                <w:tab w:val="left" w:pos="9644"/>
              </w:tabs>
              <w:ind w:left="310" w:leftChars="129" w:right="204" w:rightChars="85"/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YAGYU, Alice Kiyomi.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  <w:lang w:eastAsia="ar-SA"/>
              </w:rPr>
              <w:t>Hana, O Ator Nô</w:t>
            </w: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. Dissertação de Mestrado, USP/Escola de Comunicações e Artes, 1995. </w:t>
            </w:r>
          </w:p>
          <w:p>
            <w:pPr>
              <w:tabs>
                <w:tab w:val="left" w:pos="9644"/>
              </w:tabs>
              <w:ind w:left="310" w:leftChars="129" w:right="204" w:rightChars="85"/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__________________.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Do Kyogen ao Qioguem?!-um percurso Oriente-Ocidente na arte do ator</w:t>
            </w:r>
            <w:r>
              <w:rPr>
                <w:rFonts w:ascii="Arial Narrow" w:hAnsi="Arial Narrow" w:cstheme="minorHAnsi"/>
                <w:sz w:val="22"/>
                <w:szCs w:val="22"/>
              </w:rPr>
              <w:t>. Tese de Doutoramento em Artes</w:t>
            </w: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. ECA-USP: 2009. </w:t>
            </w:r>
            <w:r>
              <w:fldChar w:fldCharType="begin"/>
            </w:r>
            <w:r>
              <w:instrText xml:space="preserve"> HYPERLINK "https://www.teses.usp.br/teses/disponiveis/27/27156/tde-31082015-112743/publico/AliceKiyomiYagyu.pdf"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  <w:lang w:eastAsia="ar-SA"/>
              </w:rPr>
              <w:t>https://www.teses.usp.br/teses/disponiveis/27/27156/tde-31082015-112743/publico/AliceKiyomiYagyu.pdf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  <w:lang w:eastAsia="ar-SA"/>
              </w:rPr>
              <w:fldChar w:fldCharType="end"/>
            </w:r>
          </w:p>
          <w:p>
            <w:pPr>
              <w:tabs>
                <w:tab w:val="left" w:pos="9644"/>
              </w:tabs>
              <w:ind w:left="310" w:leftChars="129" w:right="204" w:rightChars="85"/>
              <w:jc w:val="both"/>
              <w:rPr>
                <w:rFonts w:ascii="Arial Narrow" w:hAnsi="Arial Narrow"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 xml:space="preserve">__________________.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 Shozoku e a corporeidade do ator Kyogen.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Pitágoras 500. </w:t>
            </w:r>
            <w:r>
              <w:rPr>
                <w:rFonts w:ascii="Arial Narrow" w:hAnsi="Arial Narrow" w:cstheme="minorHAnsi"/>
                <w:sz w:val="22"/>
                <w:szCs w:val="22"/>
              </w:rPr>
              <w:sym w:font="Times New Roman" w:char="F0B7"/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 </w:t>
            </w:r>
            <w:r>
              <w:fldChar w:fldCharType="begin"/>
            </w:r>
            <w:r>
              <w:instrText xml:space="preserve"> HYPERLINK "https://periodicos.sbu.unicamp.br/ojs/index.php/pit500/issue/view/1601"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v. 9 n. 1 (2019)</w:t>
            </w:r>
            <w:r>
              <w:rPr>
                <w:rStyle w:val="12"/>
                <w:rFonts w:ascii="Arial Narrow" w:hAnsi="Arial Narrow" w:cstheme="minorHAnsi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Arial Narrow" w:hAnsi="Arial Narrow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tabs>
                <w:tab w:val="left" w:pos="9644"/>
              </w:tabs>
              <w:ind w:left="310" w:leftChars="129" w:right="204" w:rightChars="85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"https://periodicos.sbu.unicamp.br/ojs/index.php/pit500/article/view/8655496"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https://periodicos.sbu.unicamp.br/ojs/index.php/pit500/article/view/8655496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</w:p>
          <w:p>
            <w:pPr>
              <w:tabs>
                <w:tab w:val="left" w:pos="9644"/>
              </w:tabs>
              <w:ind w:left="310" w:leftChars="129" w:right="204" w:rightChars="85"/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</w:p>
          <w:p>
            <w:pPr>
              <w:tabs>
                <w:tab w:val="left" w:pos="9644"/>
              </w:tabs>
              <w:ind w:left="310" w:leftChars="129" w:right="204" w:rightChars="8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SANTOS, Juliana RM,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Quando técnica transborda em poeia: Tadashi Suzuki e suas disciplinas de atuação.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UNICAMP&lt; 2009. Dissertação. </w:t>
            </w:r>
            <w:r>
              <w:fldChar w:fldCharType="begin"/>
            </w:r>
            <w:r>
              <w:instrText xml:space="preserve"> HYPERLINK "http://www.teses.usp.br/teses/disponiveis/27/27155/tde-02092009-192013/pt-br.php"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olor w:val="auto"/>
                <w:sz w:val="22"/>
                <w:szCs w:val="22"/>
              </w:rPr>
              <w:t>http://www.teses.usp.br/teses/disponiveis/27/27155/tde-02092009-192013/pt-br.php</w:t>
            </w:r>
            <w:r>
              <w:rPr>
                <w:rStyle w:val="12"/>
                <w:rFonts w:ascii="Arial Narrow" w:hAnsi="Arial Narrow" w:cstheme="minorHAnsi"/>
                <w:color w:val="auto"/>
                <w:sz w:val="22"/>
                <w:szCs w:val="22"/>
              </w:rPr>
              <w:fldChar w:fldCharType="end"/>
            </w:r>
          </w:p>
          <w:p>
            <w:pPr>
              <w:ind w:left="284" w:hanging="284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      _________________.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Entrevista Kameron Steele.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Revista Conceição/Conception. </w:t>
            </w:r>
            <w:r>
              <w:fldChar w:fldCharType="begin"/>
            </w:r>
            <w:r>
              <w:instrText xml:space="preserve"> HYPERLINK "https://www.publionline.iar.unicamp.br/index.php/ppgac/issue/view/25" \t "_parent"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olor w:val="auto"/>
                <w:sz w:val="22"/>
                <w:szCs w:val="22"/>
                <w:u w:val="none"/>
              </w:rPr>
              <w:t>v. 4, n. 1  (2015)</w:t>
            </w:r>
            <w:r>
              <w:rPr>
                <w:rStyle w:val="12"/>
                <w:rFonts w:ascii="Arial Narrow" w:hAnsi="Arial Narrow" w:cstheme="minorHAnsi"/>
                <w:color w:val="auto"/>
                <w:sz w:val="22"/>
                <w:szCs w:val="22"/>
                <w:u w:val="none"/>
              </w:rPr>
              <w:fldChar w:fldCharType="end"/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"http://www.publionline.iar.unicamp.br/index.php/ppgac/article/view/259/307"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http://www.publionline.iar.unicamp.br/index.php/ppgac/article/view/259/307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</w:p>
          <w:p>
            <w:pPr>
              <w:tabs>
                <w:tab w:val="left" w:pos="9644"/>
              </w:tabs>
              <w:ind w:left="310" w:leftChars="129" w:right="204" w:rightChars="85"/>
              <w:jc w:val="both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_________________.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  <w:lang w:val="en-US"/>
              </w:rPr>
              <w:t>Sob a perspectiva do instante - O teatro como lugar de construção de um espaço-tempo singular</w:t>
            </w:r>
            <w:r>
              <w:rPr>
                <w:rFonts w:ascii="Arial Narrow" w:hAnsi="Arial Narrow" w:cstheme="minorHAnsi"/>
                <w:sz w:val="22"/>
                <w:szCs w:val="22"/>
                <w:lang w:val="en-US"/>
              </w:rPr>
              <w:t xml:space="preserve">. Tese de Doutorado. UNICAMP, 2017. </w:t>
            </w:r>
            <w:r>
              <w:fldChar w:fldCharType="begin"/>
            </w:r>
            <w:r>
              <w:instrText xml:space="preserve"> HYPERLINK "http://repositorio.unicamp.br/jspui/handle/REPOSIP/330440"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http://repositorio.unicamp.br/jspui/handle/REPOSIP/330440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</w:p>
          <w:p>
            <w:pPr>
              <w:ind w:left="284"/>
              <w:jc w:val="both"/>
              <w:rPr>
                <w:rFonts w:ascii="Arial Narrow" w:hAnsi="Arial Narrow" w:eastAsia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>
            <w:pPr>
              <w:ind w:left="28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Links de vídeos</w:t>
            </w:r>
          </w:p>
          <w:p>
            <w:pPr>
              <w:ind w:left="284"/>
              <w:jc w:val="both"/>
              <w:rPr>
                <w:rFonts w:ascii="Arial Narrow" w:hAnsi="Arial Narrow" w:cstheme="minorHAnsi"/>
                <w:color w:val="222222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222222"/>
                <w:sz w:val="22"/>
                <w:szCs w:val="22"/>
              </w:rPr>
              <w:t>SUZUKI &lt;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"https://www.youtube.com/watch?v=i3MWvhtjUiQ"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https://www.youtube.com/watch?v=i3MWvhtjUiQ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theme="minorHAnsi"/>
                <w:color w:val="222222"/>
                <w:sz w:val="22"/>
                <w:szCs w:val="22"/>
              </w:rPr>
              <w:t>&gt;</w:t>
            </w:r>
          </w:p>
          <w:p>
            <w:pPr>
              <w:ind w:left="284"/>
              <w:jc w:val="both"/>
              <w:rPr>
                <w:rFonts w:ascii="Arial Narrow" w:hAnsi="Arial Narrow" w:cstheme="minorHAnsi"/>
                <w:color w:val="222222"/>
                <w:sz w:val="22"/>
                <w:szCs w:val="22"/>
              </w:rPr>
            </w:pPr>
          </w:p>
          <w:p>
            <w:pPr>
              <w:ind w:left="284"/>
              <w:jc w:val="both"/>
              <w:rPr>
                <w:rFonts w:ascii="Arial Narrow" w:hAnsi="Arial Narrow" w:cstheme="minorHAnsi"/>
                <w:color w:val="222222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222222"/>
                <w:sz w:val="22"/>
                <w:szCs w:val="22"/>
              </w:rPr>
              <w:t xml:space="preserve">TOGA: Troyanas atual </w:t>
            </w:r>
            <w:r>
              <w:fldChar w:fldCharType="begin"/>
            </w:r>
            <w:r>
              <w:instrText xml:space="preserve"> HYPERLINK "https://www.youtube.com/watch?v=HwRQYotfI1A"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https://www.youtube.com/watch?v=HwRQYotfI1A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</w:p>
          <w:p>
            <w:pPr>
              <w:ind w:left="284"/>
              <w:jc w:val="both"/>
              <w:rPr>
                <w:rFonts w:ascii="Arial Narrow" w:hAnsi="Arial Narrow" w:cstheme="minorHAnsi"/>
                <w:color w:val="222222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222222"/>
                <w:sz w:val="22"/>
                <w:szCs w:val="22"/>
              </w:rPr>
              <w:t xml:space="preserve">TOGA fotos: </w:t>
            </w:r>
            <w:r>
              <w:fldChar w:fldCharType="begin"/>
            </w:r>
            <w:r>
              <w:instrText xml:space="preserve"> HYPERLINK "http://www.togapk.net/en/facility/?facility_id=2"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t>http://www.togapk.net/en/facility/?facility_id=2</w:t>
            </w:r>
            <w:r>
              <w:rPr>
                <w:rStyle w:val="12"/>
                <w:rFonts w:ascii="Arial Narrow" w:hAnsi="Arial Narrow" w:cstheme="minorHAnsi"/>
                <w:sz w:val="22"/>
                <w:szCs w:val="22"/>
              </w:rPr>
              <w:fldChar w:fldCharType="end"/>
            </w:r>
          </w:p>
          <w:p>
            <w:pPr>
              <w:ind w:left="284"/>
              <w:jc w:val="both"/>
              <w:rPr>
                <w:rFonts w:ascii="Arial Narrow" w:hAnsi="Arial Narrow" w:cstheme="minorHAnsi"/>
                <w:color w:val="222222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222222"/>
                <w:sz w:val="22"/>
                <w:szCs w:val="22"/>
              </w:rPr>
              <w:t>TOGA hindu https://www.youtube.com/watch?v=qmEyEbx0Zeg</w:t>
            </w:r>
          </w:p>
          <w:p>
            <w:pPr>
              <w:ind w:left="284"/>
              <w:jc w:val="both"/>
              <w:rPr>
                <w:rFonts w:ascii="Arial Narrow" w:hAnsi="Arial Narrow" w:cstheme="minorHAnsi"/>
                <w:color w:val="222222"/>
                <w:sz w:val="22"/>
                <w:szCs w:val="22"/>
              </w:rPr>
            </w:pPr>
          </w:p>
          <w:p>
            <w:pPr>
              <w:ind w:left="284"/>
              <w:jc w:val="both"/>
              <w:rPr>
                <w:rFonts w:ascii="Arial Narrow" w:hAnsi="Arial Narrow" w:cstheme="minorHAnsi"/>
                <w:color w:val="222222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222222"/>
                <w:sz w:val="22"/>
                <w:szCs w:val="22"/>
              </w:rPr>
              <w:t>NOH </w:t>
            </w:r>
            <w:r>
              <w:fldChar w:fldCharType="begin"/>
            </w:r>
            <w:r>
              <w:instrText xml:space="preserve"> HYPERLINK "https://www.youtube.com/watch?v=GZ6PB59EKuY" \t "_blank"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olor w:val="1155CC"/>
                <w:sz w:val="22"/>
                <w:szCs w:val="22"/>
              </w:rPr>
              <w:t>https://www.youtube.com/watch?v=GZ6PB59EKuY</w:t>
            </w:r>
            <w:r>
              <w:rPr>
                <w:rStyle w:val="12"/>
                <w:rFonts w:ascii="Arial Narrow" w:hAnsi="Arial Narrow" w:cstheme="minorHAnsi"/>
                <w:color w:val="1155CC"/>
                <w:sz w:val="22"/>
                <w:szCs w:val="22"/>
              </w:rPr>
              <w:fldChar w:fldCharType="end"/>
            </w:r>
          </w:p>
          <w:p>
            <w:pPr>
              <w:ind w:left="284"/>
              <w:jc w:val="both"/>
              <w:rPr>
                <w:rFonts w:ascii="Arial Narrow" w:hAnsi="Arial Narrow" w:cstheme="minorHAnsi"/>
                <w:color w:val="222222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222222"/>
                <w:sz w:val="22"/>
                <w:szCs w:val="22"/>
              </w:rPr>
              <w:t>KABUKI </w:t>
            </w:r>
            <w:r>
              <w:fldChar w:fldCharType="begin"/>
            </w:r>
            <w:r>
              <w:instrText xml:space="preserve"> HYPERLINK "https://www.youtube.com/watch?v=CiKUurfoRhE" \t "_blank"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olor w:val="1155CC"/>
                <w:sz w:val="22"/>
                <w:szCs w:val="22"/>
              </w:rPr>
              <w:t>https://www.youtube.com/watch?v=CiKUurfoRhE</w:t>
            </w:r>
            <w:r>
              <w:rPr>
                <w:rStyle w:val="12"/>
                <w:rFonts w:ascii="Arial Narrow" w:hAnsi="Arial Narrow" w:cstheme="minorHAnsi"/>
                <w:color w:val="1155CC"/>
                <w:sz w:val="22"/>
                <w:szCs w:val="22"/>
              </w:rPr>
              <w:fldChar w:fldCharType="end"/>
            </w:r>
          </w:p>
          <w:p>
            <w:pPr>
              <w:ind w:left="284"/>
              <w:jc w:val="both"/>
              <w:rPr>
                <w:rFonts w:ascii="Arial Narrow" w:hAnsi="Arial Narrow" w:cstheme="minorHAnsi"/>
                <w:color w:val="222222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222222"/>
                <w:sz w:val="22"/>
                <w:szCs w:val="22"/>
              </w:rPr>
              <w:t>BUNRAKU </w:t>
            </w:r>
            <w:r>
              <w:fldChar w:fldCharType="begin"/>
            </w:r>
            <w:r>
              <w:instrText xml:space="preserve"> HYPERLINK "https://www.youtube.com/watch?v=1qcBSAwQVpw" \t "_blank"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olor w:val="1155CC"/>
                <w:sz w:val="22"/>
                <w:szCs w:val="22"/>
              </w:rPr>
              <w:t>https://www.youtube.com/watch?v=1qcBSAwQVpw</w:t>
            </w:r>
            <w:r>
              <w:rPr>
                <w:rStyle w:val="12"/>
                <w:rFonts w:ascii="Arial Narrow" w:hAnsi="Arial Narrow" w:cstheme="minorHAnsi"/>
                <w:color w:val="1155CC"/>
                <w:sz w:val="22"/>
                <w:szCs w:val="22"/>
              </w:rPr>
              <w:fldChar w:fldCharType="end"/>
            </w:r>
          </w:p>
          <w:p>
            <w:pPr>
              <w:ind w:left="284"/>
              <w:jc w:val="both"/>
              <w:rPr>
                <w:rFonts w:ascii="Arial Narrow" w:hAnsi="Arial Narrow" w:cstheme="minorHAnsi"/>
                <w:color w:val="222222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222222"/>
                <w:sz w:val="22"/>
                <w:szCs w:val="22"/>
              </w:rPr>
              <w:t>KYOGEN </w:t>
            </w:r>
            <w:r>
              <w:fldChar w:fldCharType="begin"/>
            </w:r>
            <w:r>
              <w:instrText xml:space="preserve"> HYPERLINK "https://www.youtube.com/watch?v=oKfriCzdjSg" \t "_blank"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olor w:val="1155CC"/>
                <w:sz w:val="22"/>
                <w:szCs w:val="22"/>
              </w:rPr>
              <w:t>https://www.youtube.com/watch?v=oKfriCzdjSg</w:t>
            </w:r>
            <w:r>
              <w:rPr>
                <w:rStyle w:val="12"/>
                <w:rFonts w:ascii="Arial Narrow" w:hAnsi="Arial Narrow" w:cstheme="minorHAnsi"/>
                <w:color w:val="1155CC"/>
                <w:sz w:val="22"/>
                <w:szCs w:val="22"/>
              </w:rPr>
              <w:fldChar w:fldCharType="end"/>
            </w:r>
          </w:p>
          <w:p>
            <w:pPr>
              <w:ind w:left="284"/>
              <w:jc w:val="both"/>
              <w:rPr>
                <w:rFonts w:ascii="Arial Narrow" w:hAnsi="Arial Narrow" w:cstheme="minorHAnsi"/>
                <w:color w:val="222222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222222"/>
                <w:sz w:val="22"/>
                <w:szCs w:val="22"/>
              </w:rPr>
              <w:t>BUTOH - Hijikata Tatsumi - </w:t>
            </w:r>
            <w:r>
              <w:fldChar w:fldCharType="begin"/>
            </w:r>
            <w:r>
              <w:instrText xml:space="preserve"> HYPERLINK "https://www.youtube.com/watch?v=sCT3vp0Gu1o" \t "_blank" </w:instrText>
            </w:r>
            <w:r>
              <w:fldChar w:fldCharType="separate"/>
            </w:r>
            <w:r>
              <w:rPr>
                <w:rStyle w:val="12"/>
                <w:rFonts w:ascii="Arial Narrow" w:hAnsi="Arial Narrow" w:cstheme="minorHAnsi"/>
                <w:color w:val="1155CC"/>
                <w:sz w:val="22"/>
                <w:szCs w:val="22"/>
              </w:rPr>
              <w:t>https://www.youtube.com/watch?v=sCT3vp0Gu1o</w:t>
            </w:r>
            <w:r>
              <w:rPr>
                <w:rStyle w:val="12"/>
                <w:rFonts w:ascii="Arial Narrow" w:hAnsi="Arial Narrow" w:cstheme="minorHAnsi"/>
                <w:color w:val="1155CC"/>
                <w:sz w:val="22"/>
                <w:szCs w:val="22"/>
              </w:rPr>
              <w:fldChar w:fldCharType="end"/>
            </w:r>
          </w:p>
          <w:p>
            <w:pPr>
              <w:jc w:val="center"/>
              <w:rPr>
                <w:rFonts w:ascii="Arial Narrow" w:hAnsi="Arial Narrow" w:eastAsia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057" w:type="dxa"/>
            <w:shd w:val="clear" w:color="auto" w:fill="FFFFFF"/>
            <w:vAlign w:val="center"/>
          </w:tcPr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 xml:space="preserve">         ______________________________________     _____________________________________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>Profa. Dra. Juliana Reis Monteiro dos Santos       Profa. Dra. Carina Maria Guimarães Moreira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  <w:r>
              <w:rPr>
                <w:rFonts w:ascii="Arial Narrow" w:hAnsi="Arial Narrow" w:eastAsia="Arial" w:cs="Arial"/>
                <w:sz w:val="22"/>
                <w:szCs w:val="22"/>
              </w:rPr>
              <w:t>Responsável                                                          Coordenador do PPGAC</w:t>
            </w: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 Narrow" w:hAnsi="Arial Narrow" w:eastAsia="Arial" w:cs="Arial"/>
                <w:sz w:val="22"/>
                <w:szCs w:val="22"/>
              </w:rPr>
            </w:pPr>
          </w:p>
        </w:tc>
      </w:tr>
    </w:tbl>
    <w:p>
      <w:pPr>
        <w:rPr>
          <w:rFonts w:ascii="Arial Narrow" w:hAnsi="Arial Narrow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701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Arial" w:hAnsi="Arial" w:eastAsia="Arial" w:cs="Arial"/>
        <w:b/>
      </w:rPr>
    </w:pPr>
    <w:r>
      <w:rPr>
        <w:rFonts w:ascii="Arial" w:hAnsi="Arial" w:eastAsia="Arial" w:cs="Arial"/>
        <w:b/>
      </w:rPr>
      <w:fldChar w:fldCharType="begin"/>
    </w:r>
    <w:r>
      <w:rPr>
        <w:rFonts w:ascii="Arial" w:hAnsi="Arial" w:eastAsia="Arial" w:cs="Arial"/>
        <w:b/>
      </w:rPr>
      <w:instrText xml:space="preserve">PAGE</w:instrText>
    </w:r>
    <w:r>
      <w:rPr>
        <w:rFonts w:ascii="Arial" w:hAnsi="Arial" w:eastAsia="Arial" w:cs="Arial"/>
        <w:b/>
      </w:rPr>
      <w:fldChar w:fldCharType="separate"/>
    </w:r>
    <w:r>
      <w:rPr>
        <w:rFonts w:ascii="Arial" w:hAnsi="Arial" w:eastAsia="Arial" w:cs="Arial"/>
        <w:b/>
      </w:rPr>
      <w:t>2</w:t>
    </w:r>
    <w:r>
      <w:rPr>
        <w:rFonts w:ascii="Arial" w:hAnsi="Arial" w:eastAsia="Arial" w:cs="Arial"/>
        <w:b/>
      </w:rPr>
      <w:fldChar w:fldCharType="end"/>
    </w:r>
    <w:r>
      <w:rPr>
        <w:rFonts w:ascii="Arial" w:hAnsi="Arial" w:eastAsia="Arial" w:cs="Arial"/>
        <w:b/>
      </w:rPr>
      <w:t>/</w:t>
    </w:r>
    <w:r>
      <w:rPr>
        <w:rFonts w:ascii="Arial" w:hAnsi="Arial" w:eastAsia="Arial" w:cs="Arial"/>
        <w:b/>
      </w:rPr>
      <w:fldChar w:fldCharType="begin"/>
    </w:r>
    <w:r>
      <w:rPr>
        <w:rFonts w:ascii="Arial" w:hAnsi="Arial" w:eastAsia="Arial" w:cs="Arial"/>
        <w:b/>
      </w:rPr>
      <w:instrText xml:space="preserve">NUMPAGES</w:instrText>
    </w:r>
    <w:r>
      <w:rPr>
        <w:rFonts w:ascii="Arial" w:hAnsi="Arial" w:eastAsia="Arial" w:cs="Arial"/>
        <w:b/>
      </w:rPr>
      <w:fldChar w:fldCharType="separate"/>
    </w:r>
    <w:r>
      <w:rPr>
        <w:rFonts w:ascii="Arial" w:hAnsi="Arial" w:eastAsia="Arial" w:cs="Arial"/>
        <w:b/>
      </w:rPr>
      <w:t>2</w:t>
    </w:r>
    <w:r>
      <w:rPr>
        <w:rFonts w:ascii="Arial" w:hAnsi="Arial" w:eastAsia="Arial" w:cs="Arial"/>
        <w:b/>
      </w:rPr>
      <w:fldChar w:fldCharType="end"/>
    </w:r>
  </w:p>
  <w:p>
    <w:pPr>
      <w:tabs>
        <w:tab w:val="center" w:pos="4252"/>
        <w:tab w:val="right" w:pos="8504"/>
      </w:tabs>
      <w:spacing w:after="709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before="709" w:line="276" w:lineRule="auto"/>
      <w:rPr>
        <w:sz w:val="4"/>
        <w:szCs w:val="4"/>
      </w:rPr>
    </w:pPr>
  </w:p>
  <w:tbl>
    <w:tblPr>
      <w:tblStyle w:val="23"/>
      <w:tblW w:w="9071" w:type="dxa"/>
      <w:tblInd w:w="0" w:type="dxa"/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2376"/>
      <w:gridCol w:w="6695"/>
    </w:tblGrid>
    <w:tr>
      <w:tblPrEx>
        <w:tblCellMar>
          <w:top w:w="0" w:type="dxa"/>
          <w:left w:w="115" w:type="dxa"/>
          <w:bottom w:w="0" w:type="dxa"/>
          <w:right w:w="115" w:type="dxa"/>
        </w:tblCellMar>
      </w:tblPrEx>
      <w:tc>
        <w:tcPr>
          <w:tcW w:w="2376" w:type="dxa"/>
          <w:shd w:val="clear" w:color="auto" w:fill="FFFFFF"/>
          <w:vAlign w:val="center"/>
        </w:tcPr>
        <w:p>
          <w:pPr>
            <w:tabs>
              <w:tab w:val="center" w:pos="4252"/>
              <w:tab w:val="right" w:pos="8504"/>
            </w:tabs>
            <w:jc w:val="center"/>
            <w:rPr>
              <w:rFonts w:ascii="Arial" w:hAnsi="Arial" w:eastAsia="Arial" w:cs="Arial"/>
            </w:rPr>
          </w:pPr>
          <w:r>
            <w:drawing>
              <wp:inline distT="0" distB="0" distL="0" distR="0">
                <wp:extent cx="821690" cy="82740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shd w:val="clear" w:color="auto" w:fill="FFFFFF"/>
          <w:vAlign w:val="center"/>
        </w:tcPr>
        <w:p>
          <w:pPr>
            <w:pStyle w:val="1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UNIVERSIDADE FEDERAL DE SÃO JOÃO DEL-REI – UFSJ</w:t>
          </w:r>
        </w:p>
        <w:p>
          <w:pPr>
            <w:jc w:val="right"/>
            <w:rPr>
              <w:rFonts w:ascii="Arial" w:hAnsi="Arial" w:eastAsia="Arial" w:cs="Arial"/>
              <w:smallCaps/>
              <w:sz w:val="16"/>
              <w:szCs w:val="16"/>
            </w:rPr>
          </w:pPr>
          <w:r>
            <w:rPr>
              <w:rFonts w:ascii="Arial" w:hAnsi="Arial" w:eastAsia="Arial" w:cs="Arial"/>
              <w:smallCaps/>
              <w:sz w:val="16"/>
              <w:szCs w:val="16"/>
            </w:rPr>
            <w:t>INSTITUÍDA PELA LEI N</w:t>
          </w:r>
          <w:r>
            <w:rPr>
              <w:rFonts w:ascii="Arial" w:hAnsi="Arial" w:eastAsia="Arial" w:cs="Arial"/>
              <w:smallCaps/>
              <w:sz w:val="16"/>
              <w:szCs w:val="16"/>
              <w:u w:val="single"/>
              <w:vertAlign w:val="superscript"/>
            </w:rPr>
            <w:t>O</w:t>
          </w:r>
          <w:r>
            <w:rPr>
              <w:rFonts w:ascii="Arial" w:hAnsi="Arial" w:eastAsia="Arial" w:cs="Arial"/>
              <w:smallCaps/>
              <w:sz w:val="16"/>
              <w:szCs w:val="16"/>
              <w:vertAlign w:val="superscript"/>
            </w:rPr>
            <w:t xml:space="preserve"> </w:t>
          </w:r>
          <w:r>
            <w:rPr>
              <w:rFonts w:ascii="Arial" w:hAnsi="Arial" w:eastAsia="Arial" w:cs="Arial"/>
              <w:smallCaps/>
              <w:sz w:val="16"/>
              <w:szCs w:val="16"/>
            </w:rPr>
            <w:t>10.425, DE 19/04/2002 – D.O.U. DE 22/04/2002</w:t>
          </w:r>
        </w:p>
        <w:p>
          <w:pPr>
            <w:jc w:val="right"/>
            <w:rPr>
              <w:rFonts w:ascii="Arial" w:hAnsi="Arial" w:eastAsia="Arial" w:cs="Arial"/>
              <w:smallCaps/>
              <w:sz w:val="16"/>
              <w:szCs w:val="16"/>
            </w:rPr>
          </w:pPr>
          <w:r>
            <w:rPr>
              <w:rFonts w:ascii="Arial" w:hAnsi="Arial" w:eastAsia="Arial" w:cs="Arial"/>
              <w:sz w:val="16"/>
              <w:szCs w:val="16"/>
            </w:rPr>
            <w:t>PRÓ-REITORIA DE ENSINO DE GRADUAÇÃO – PROEN</w:t>
          </w:r>
        </w:p>
      </w:tc>
    </w:tr>
  </w:tbl>
  <w:p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85640"/>
    <w:multiLevelType w:val="multilevel"/>
    <w:tmpl w:val="3AC85640"/>
    <w:lvl w:ilvl="0" w:tentative="0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">
    <w:nsid w:val="43154C79"/>
    <w:multiLevelType w:val="multilevel"/>
    <w:tmpl w:val="43154C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08E3AD3"/>
    <w:multiLevelType w:val="multilevel"/>
    <w:tmpl w:val="708E3AD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82741D7"/>
    <w:multiLevelType w:val="multilevel"/>
    <w:tmpl w:val="782741D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4D"/>
    <w:rsid w:val="000045AE"/>
    <w:rsid w:val="00027A41"/>
    <w:rsid w:val="00033853"/>
    <w:rsid w:val="00043A47"/>
    <w:rsid w:val="000A102D"/>
    <w:rsid w:val="000D360C"/>
    <w:rsid w:val="000E2140"/>
    <w:rsid w:val="00113FFD"/>
    <w:rsid w:val="00121919"/>
    <w:rsid w:val="001301FF"/>
    <w:rsid w:val="00133DD7"/>
    <w:rsid w:val="001C71C3"/>
    <w:rsid w:val="001D04EE"/>
    <w:rsid w:val="001D62B4"/>
    <w:rsid w:val="001E756E"/>
    <w:rsid w:val="001F07EE"/>
    <w:rsid w:val="001F43C1"/>
    <w:rsid w:val="00205506"/>
    <w:rsid w:val="002309AD"/>
    <w:rsid w:val="00234AFC"/>
    <w:rsid w:val="002402C4"/>
    <w:rsid w:val="002508E8"/>
    <w:rsid w:val="002703E3"/>
    <w:rsid w:val="00274DBB"/>
    <w:rsid w:val="002809CB"/>
    <w:rsid w:val="002874A5"/>
    <w:rsid w:val="002B52F5"/>
    <w:rsid w:val="002B6C36"/>
    <w:rsid w:val="002D0CCA"/>
    <w:rsid w:val="003000D4"/>
    <w:rsid w:val="00301428"/>
    <w:rsid w:val="003138AF"/>
    <w:rsid w:val="00331F53"/>
    <w:rsid w:val="00342E96"/>
    <w:rsid w:val="0034704D"/>
    <w:rsid w:val="00360387"/>
    <w:rsid w:val="00397E49"/>
    <w:rsid w:val="003B3CE3"/>
    <w:rsid w:val="003C1B5D"/>
    <w:rsid w:val="003D2843"/>
    <w:rsid w:val="003E623D"/>
    <w:rsid w:val="003E6371"/>
    <w:rsid w:val="003F416C"/>
    <w:rsid w:val="00402552"/>
    <w:rsid w:val="00402F25"/>
    <w:rsid w:val="0045650B"/>
    <w:rsid w:val="00456743"/>
    <w:rsid w:val="00461986"/>
    <w:rsid w:val="00480832"/>
    <w:rsid w:val="00497C33"/>
    <w:rsid w:val="004A6C7D"/>
    <w:rsid w:val="004B6BEE"/>
    <w:rsid w:val="004C46D9"/>
    <w:rsid w:val="004D2B37"/>
    <w:rsid w:val="004D50D7"/>
    <w:rsid w:val="004D6AE2"/>
    <w:rsid w:val="004E3516"/>
    <w:rsid w:val="004E5882"/>
    <w:rsid w:val="004F05F1"/>
    <w:rsid w:val="00513486"/>
    <w:rsid w:val="005144F0"/>
    <w:rsid w:val="00516F9D"/>
    <w:rsid w:val="00552D03"/>
    <w:rsid w:val="00555CCA"/>
    <w:rsid w:val="00562641"/>
    <w:rsid w:val="00570A13"/>
    <w:rsid w:val="00585D7F"/>
    <w:rsid w:val="00586198"/>
    <w:rsid w:val="005A57F0"/>
    <w:rsid w:val="005A5896"/>
    <w:rsid w:val="005A7675"/>
    <w:rsid w:val="005D1AD0"/>
    <w:rsid w:val="005D33FF"/>
    <w:rsid w:val="005D6491"/>
    <w:rsid w:val="005E6A12"/>
    <w:rsid w:val="005F61A2"/>
    <w:rsid w:val="0061325D"/>
    <w:rsid w:val="00623C9D"/>
    <w:rsid w:val="00632323"/>
    <w:rsid w:val="00651717"/>
    <w:rsid w:val="00654502"/>
    <w:rsid w:val="006602FF"/>
    <w:rsid w:val="00681432"/>
    <w:rsid w:val="0068161A"/>
    <w:rsid w:val="006C2A7F"/>
    <w:rsid w:val="006D0C2C"/>
    <w:rsid w:val="006F38B4"/>
    <w:rsid w:val="00701CE9"/>
    <w:rsid w:val="00721823"/>
    <w:rsid w:val="007218DC"/>
    <w:rsid w:val="00725670"/>
    <w:rsid w:val="00727EEB"/>
    <w:rsid w:val="007328B9"/>
    <w:rsid w:val="00737DAA"/>
    <w:rsid w:val="00756185"/>
    <w:rsid w:val="007604F8"/>
    <w:rsid w:val="00791D7C"/>
    <w:rsid w:val="007948A4"/>
    <w:rsid w:val="00796C1E"/>
    <w:rsid w:val="007B4F28"/>
    <w:rsid w:val="007B59CE"/>
    <w:rsid w:val="007D4ECB"/>
    <w:rsid w:val="007D6469"/>
    <w:rsid w:val="007E0B9E"/>
    <w:rsid w:val="007E5A5E"/>
    <w:rsid w:val="008150A5"/>
    <w:rsid w:val="00847208"/>
    <w:rsid w:val="00893AF9"/>
    <w:rsid w:val="008B09E6"/>
    <w:rsid w:val="008B5195"/>
    <w:rsid w:val="008B57D8"/>
    <w:rsid w:val="008C2BC3"/>
    <w:rsid w:val="008D1E7A"/>
    <w:rsid w:val="008E3DB9"/>
    <w:rsid w:val="008E3FE4"/>
    <w:rsid w:val="008E78DB"/>
    <w:rsid w:val="00910DCC"/>
    <w:rsid w:val="0091578D"/>
    <w:rsid w:val="00930919"/>
    <w:rsid w:val="009429A2"/>
    <w:rsid w:val="0094431B"/>
    <w:rsid w:val="009577CF"/>
    <w:rsid w:val="009A166B"/>
    <w:rsid w:val="009D31A7"/>
    <w:rsid w:val="009E19A8"/>
    <w:rsid w:val="009E5477"/>
    <w:rsid w:val="009F13C2"/>
    <w:rsid w:val="00A16548"/>
    <w:rsid w:val="00A37220"/>
    <w:rsid w:val="00AA27C2"/>
    <w:rsid w:val="00AB17D1"/>
    <w:rsid w:val="00AB52C2"/>
    <w:rsid w:val="00AF1337"/>
    <w:rsid w:val="00AF385E"/>
    <w:rsid w:val="00AF426F"/>
    <w:rsid w:val="00B252C3"/>
    <w:rsid w:val="00B34392"/>
    <w:rsid w:val="00B45888"/>
    <w:rsid w:val="00B60760"/>
    <w:rsid w:val="00B63CB1"/>
    <w:rsid w:val="00B74D14"/>
    <w:rsid w:val="00B7783E"/>
    <w:rsid w:val="00B860E2"/>
    <w:rsid w:val="00B97542"/>
    <w:rsid w:val="00BB1BC2"/>
    <w:rsid w:val="00BB298B"/>
    <w:rsid w:val="00BD5799"/>
    <w:rsid w:val="00BE12F9"/>
    <w:rsid w:val="00BF4433"/>
    <w:rsid w:val="00C10D7C"/>
    <w:rsid w:val="00C1458A"/>
    <w:rsid w:val="00C20DC6"/>
    <w:rsid w:val="00C23440"/>
    <w:rsid w:val="00C4031D"/>
    <w:rsid w:val="00C41D43"/>
    <w:rsid w:val="00C66573"/>
    <w:rsid w:val="00CB1D37"/>
    <w:rsid w:val="00CC3F3C"/>
    <w:rsid w:val="00CC5949"/>
    <w:rsid w:val="00CC6C1A"/>
    <w:rsid w:val="00CD030E"/>
    <w:rsid w:val="00CE055C"/>
    <w:rsid w:val="00CE61DB"/>
    <w:rsid w:val="00CF436F"/>
    <w:rsid w:val="00D22A3D"/>
    <w:rsid w:val="00D23709"/>
    <w:rsid w:val="00D3121D"/>
    <w:rsid w:val="00D37BE7"/>
    <w:rsid w:val="00D416A7"/>
    <w:rsid w:val="00D43F14"/>
    <w:rsid w:val="00D57B51"/>
    <w:rsid w:val="00D67672"/>
    <w:rsid w:val="00D7478F"/>
    <w:rsid w:val="00D85DED"/>
    <w:rsid w:val="00D920D8"/>
    <w:rsid w:val="00DA3647"/>
    <w:rsid w:val="00DB040D"/>
    <w:rsid w:val="00DD251F"/>
    <w:rsid w:val="00DE3D83"/>
    <w:rsid w:val="00E1488D"/>
    <w:rsid w:val="00E14DA4"/>
    <w:rsid w:val="00E15767"/>
    <w:rsid w:val="00E23120"/>
    <w:rsid w:val="00E4027F"/>
    <w:rsid w:val="00E63FC6"/>
    <w:rsid w:val="00EA254B"/>
    <w:rsid w:val="00EC1D99"/>
    <w:rsid w:val="00EC3B8A"/>
    <w:rsid w:val="00EC53E9"/>
    <w:rsid w:val="00EC6F8B"/>
    <w:rsid w:val="00F02361"/>
    <w:rsid w:val="00F056E5"/>
    <w:rsid w:val="00F16485"/>
    <w:rsid w:val="00F205A1"/>
    <w:rsid w:val="00F20B58"/>
    <w:rsid w:val="00F22083"/>
    <w:rsid w:val="00F30B13"/>
    <w:rsid w:val="00F355F2"/>
    <w:rsid w:val="00F41BBD"/>
    <w:rsid w:val="00F506F8"/>
    <w:rsid w:val="00F70C90"/>
    <w:rsid w:val="00F73B65"/>
    <w:rsid w:val="00F75157"/>
    <w:rsid w:val="00F95461"/>
    <w:rsid w:val="00F96C4A"/>
    <w:rsid w:val="00FC07C5"/>
    <w:rsid w:val="00FD1851"/>
    <w:rsid w:val="00FD25E1"/>
    <w:rsid w:val="00FE5026"/>
    <w:rsid w:val="00FE6C27"/>
    <w:rsid w:val="00FF560C"/>
    <w:rsid w:val="18A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jc w:val="both"/>
      <w:outlineLvl w:val="3"/>
    </w:p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character" w:styleId="11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Title"/>
    <w:basedOn w:val="1"/>
    <w:next w:val="1"/>
    <w:qFormat/>
    <w:uiPriority w:val="0"/>
    <w:pPr>
      <w:jc w:val="center"/>
    </w:pPr>
    <w:rPr>
      <w:rFonts w:ascii="Arial" w:hAnsi="Arial" w:eastAsia="Arial" w:cs="Arial"/>
      <w:sz w:val="28"/>
      <w:szCs w:val="28"/>
    </w:rPr>
  </w:style>
  <w:style w:type="paragraph" w:styleId="14">
    <w:name w:val="header"/>
    <w:basedOn w:val="1"/>
    <w:link w:val="24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5"/>
    <w:unhideWhenUsed/>
    <w:uiPriority w:val="99"/>
    <w:pPr>
      <w:tabs>
        <w:tab w:val="center" w:pos="4252"/>
        <w:tab w:val="right" w:pos="8504"/>
      </w:tabs>
    </w:pPr>
  </w:style>
  <w:style w:type="paragraph" w:styleId="16">
    <w:name w:val="Balloon Text"/>
    <w:basedOn w:val="1"/>
    <w:link w:val="2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7">
    <w:name w:val="Subtitle"/>
    <w:basedOn w:val="1"/>
    <w:next w:val="1"/>
    <w:uiPriority w:val="0"/>
    <w:pPr>
      <w:spacing w:after="60"/>
      <w:jc w:val="center"/>
    </w:pPr>
    <w:rPr>
      <w:rFonts w:ascii="Arial" w:hAnsi="Arial" w:eastAsia="Arial" w:cs="Arial"/>
    </w:rPr>
  </w:style>
  <w:style w:type="table" w:styleId="18">
    <w:name w:val="Table Grid"/>
    <w:basedOn w:val="9"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Theme="minorHAnsi" w:hAnsiTheme="minorHAnsi" w:eastAsiaTheme="minorHAnsi" w:cstheme="minorBidi"/>
      <w:color w:val="auto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12"/>
    <w:basedOn w:val="19"/>
    <w:uiPriority w:val="0"/>
    <w:tblPr>
      <w:tblCellMar>
        <w:left w:w="115" w:type="dxa"/>
        <w:right w:w="115" w:type="dxa"/>
      </w:tblCellMar>
    </w:tblPr>
  </w:style>
  <w:style w:type="table" w:customStyle="1" w:styleId="21">
    <w:name w:val="_Style 13"/>
    <w:basedOn w:val="19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4"/>
    <w:basedOn w:val="19"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5"/>
    <w:basedOn w:val="19"/>
    <w:uiPriority w:val="0"/>
    <w:tblPr>
      <w:tblCellMar>
        <w:left w:w="115" w:type="dxa"/>
        <w:right w:w="115" w:type="dxa"/>
      </w:tblCellMar>
    </w:tblPr>
  </w:style>
  <w:style w:type="character" w:customStyle="1" w:styleId="24">
    <w:name w:val="Cabeçalho Char"/>
    <w:basedOn w:val="8"/>
    <w:link w:val="14"/>
    <w:uiPriority w:val="99"/>
  </w:style>
  <w:style w:type="character" w:customStyle="1" w:styleId="25">
    <w:name w:val="Rodapé Char"/>
    <w:basedOn w:val="8"/>
    <w:link w:val="15"/>
    <w:uiPriority w:val="99"/>
  </w:style>
  <w:style w:type="character" w:customStyle="1" w:styleId="26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styleId="27">
    <w:name w:val="List Paragraph"/>
    <w:basedOn w:val="1"/>
    <w:qFormat/>
    <w:uiPriority w:val="99"/>
    <w:pPr>
      <w:ind w:left="720"/>
      <w:contextualSpacing/>
    </w:pPr>
  </w:style>
  <w:style w:type="character" w:customStyle="1" w:styleId="28">
    <w:name w:val="Texto de balão Char"/>
    <w:basedOn w:val="8"/>
    <w:link w:val="16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9">
    <w:name w:val="Table Paragraph"/>
    <w:basedOn w:val="1"/>
    <w:qFormat/>
    <w:uiPriority w:val="1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autoSpaceDE w:val="0"/>
      <w:autoSpaceDN w:val="0"/>
    </w:pPr>
    <w:rPr>
      <w:color w:val="auto"/>
      <w:sz w:val="22"/>
      <w:szCs w:val="22"/>
      <w:lang w:val="en-US" w:eastAsia="en-US"/>
    </w:rPr>
  </w:style>
  <w:style w:type="character" w:customStyle="1" w:styleId="30">
    <w:name w:val="text-title"/>
    <w:basedOn w:val="8"/>
    <w:uiPriority w:val="0"/>
  </w:style>
  <w:style w:type="character" w:customStyle="1" w:styleId="31">
    <w:name w:val="separato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1991</Words>
  <Characters>10752</Characters>
  <Lines>89</Lines>
  <Paragraphs>25</Paragraphs>
  <TotalTime>6</TotalTime>
  <ScaleCrop>false</ScaleCrop>
  <LinksUpToDate>false</LinksUpToDate>
  <CharactersWithSpaces>12718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2020-12-14T12:42:00Z</dcterms:created>
  <dc:creator>Berilo Luigi Deiró Nosella</dc:creator>
  <cp:lastModifiedBy>107161</cp:lastModifiedBy>
  <cp:lastPrinted>2020-12-03T21:37:00Z</cp:lastPrinted>
  <dcterms:modified xsi:type="dcterms:W3CDTF">2021-01-13T17:06:43Z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